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6A" w:rsidRPr="00B6015F" w:rsidRDefault="008C1B6A" w:rsidP="008C1B6A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8C1B6A" w:rsidRPr="00B6015F" w:rsidRDefault="008C1B6A" w:rsidP="008C1B6A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3"/>
        <w:gridCol w:w="2319"/>
        <w:gridCol w:w="2723"/>
        <w:gridCol w:w="63"/>
        <w:gridCol w:w="2194"/>
        <w:gridCol w:w="2256"/>
        <w:gridCol w:w="1716"/>
      </w:tblGrid>
      <w:tr w:rsidR="008C1B6A" w:rsidRPr="00B6015F" w:rsidTr="00B55A86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B6015F" w:rsidRDefault="008C1B6A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B6015F" w:rsidRDefault="008C1B6A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B6015F" w:rsidRDefault="008C1B6A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B6015F" w:rsidRDefault="008C1B6A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B6015F" w:rsidRDefault="008C1B6A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B6015F" w:rsidRDefault="008C1B6A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8C1B6A" w:rsidRPr="00B6015F" w:rsidTr="00B55A86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8C1B6A" w:rsidRPr="00B6015F" w:rsidRDefault="008C1B6A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C1B6A" w:rsidRPr="00B6015F" w:rsidRDefault="008C1B6A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8C1B6A" w:rsidRPr="00B6015F" w:rsidRDefault="008C1B6A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8C1B6A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C1B6A" w:rsidRPr="00EE4FE0" w:rsidRDefault="008C1B6A" w:rsidP="00B55A8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ОФОРМЛЕНИЕ ПРЕБЫВАНИЯ ИНОСТРАННЫХ ГРАЖДАН И ЛИЦ</w:t>
            </w:r>
          </w:p>
          <w:p w:rsidR="008C1B6A" w:rsidRPr="00B6015F" w:rsidRDefault="008C1B6A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БЕЗ ГРАЖДАНСТВА В РЕСПУБЛИКЕ БЕЛАРУСЬ</w:t>
            </w:r>
          </w:p>
        </w:tc>
      </w:tr>
      <w:tr w:rsidR="008C1B6A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C1B6A" w:rsidRPr="00EE4FE0" w:rsidRDefault="008C1B6A" w:rsidP="00B55A8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8C1B6A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12.12. Выдача гражданину Республики Беларусь и иностранному гражданину или лицу без гражданства, постоянно проживающим в Республике Беларусь документа:</w:t>
            </w:r>
          </w:p>
        </w:tc>
      </w:tr>
      <w:tr w:rsidR="008C1B6A" w:rsidRPr="00B6015F" w:rsidTr="00B55A86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pacing w:val="-4"/>
                <w:sz w:val="28"/>
                <w:szCs w:val="28"/>
              </w:rPr>
              <w:t>12.12.1. об однократном приглашении</w:t>
            </w:r>
            <w:r w:rsidRPr="00D51337">
              <w:rPr>
                <w:b/>
                <w:sz w:val="28"/>
                <w:szCs w:val="28"/>
              </w:rPr>
              <w:t xml:space="preserve"> иностранного гражданина или лица без </w:t>
            </w: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гражданства в Республику Беларусь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6B6327" w:rsidRDefault="006B6327" w:rsidP="006B6327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bookmarkStart w:id="1" w:name="_GoBack"/>
            <w:bookmarkEnd w:id="1"/>
            <w:r>
              <w:rPr>
                <w:b/>
                <w:sz w:val="30"/>
                <w:szCs w:val="30"/>
              </w:rPr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6B6327" w:rsidRPr="006B6327" w:rsidRDefault="006B6327" w:rsidP="006B6327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вторник –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6B6327" w:rsidRDefault="006B6327" w:rsidP="006B6327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6B6327" w:rsidRPr="00D51337" w:rsidRDefault="006B6327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заявление</w:t>
            </w:r>
          </w:p>
          <w:p w:rsidR="008C1B6A" w:rsidRPr="00D51337" w:rsidRDefault="008C1B6A" w:rsidP="00B55A86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паспорт или иной документ, удостоверяющий личность</w:t>
            </w:r>
          </w:p>
          <w:p w:rsidR="008C1B6A" w:rsidRPr="00D51337" w:rsidRDefault="008C1B6A" w:rsidP="00B55A86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8C1B6A" w:rsidRPr="00D51337" w:rsidRDefault="008C1B6A" w:rsidP="00B55A86">
            <w:pPr>
              <w:pStyle w:val="table10"/>
              <w:spacing w:line="246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документ, подтверждающий</w:t>
            </w:r>
            <w:r w:rsidRPr="00D51337">
              <w:rPr>
                <w:sz w:val="28"/>
                <w:szCs w:val="28"/>
              </w:rPr>
              <w:t xml:space="preserve"> наличие средств для покрытия расходов по пребыванию </w:t>
            </w:r>
            <w:r w:rsidRPr="00D51337">
              <w:rPr>
                <w:sz w:val="28"/>
                <w:szCs w:val="28"/>
              </w:rPr>
              <w:lastRenderedPageBreak/>
              <w:t>приглашаемого иностранного гражданина или лица без гражданства в Республике Беларусь и его выезду из Республики Беларусь, – в случае приглашения иностранного гражданина или лица без гражданства из государства, неблагополучного в миграционном отношении</w:t>
            </w:r>
          </w:p>
          <w:p w:rsidR="008C1B6A" w:rsidRPr="00D51337" w:rsidRDefault="008C1B6A" w:rsidP="00B55A86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документ, подтверждающий</w:t>
            </w:r>
            <w:r w:rsidRPr="00D51337">
              <w:rPr>
                <w:sz w:val="28"/>
                <w:szCs w:val="28"/>
              </w:rPr>
              <w:t xml:space="preserve"> внесение платы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>2 базовые величины</w:t>
            </w: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pacing w:val="-12"/>
                <w:sz w:val="28"/>
                <w:szCs w:val="28"/>
              </w:rPr>
              <w:t>1 базовая величина</w:t>
            </w:r>
            <w:r w:rsidRPr="00D51337">
              <w:rPr>
                <w:spacing w:val="-12"/>
                <w:sz w:val="28"/>
                <w:szCs w:val="28"/>
              </w:rPr>
              <w:t> –</w:t>
            </w:r>
            <w:r w:rsidRPr="00D51337">
              <w:rPr>
                <w:sz w:val="28"/>
                <w:szCs w:val="28"/>
              </w:rPr>
              <w:t xml:space="preserve"> дополнительно за выдачу документа </w:t>
            </w:r>
            <w:r w:rsidRPr="00D51337">
              <w:rPr>
                <w:b/>
                <w:sz w:val="28"/>
                <w:szCs w:val="28"/>
              </w:rPr>
              <w:t xml:space="preserve">в ускоренном порядке </w:t>
            </w: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3 базовые величины</w:t>
            </w:r>
            <w:r w:rsidRPr="00D51337">
              <w:rPr>
                <w:sz w:val="28"/>
                <w:szCs w:val="28"/>
              </w:rPr>
              <w:t xml:space="preserve"> - </w:t>
            </w:r>
            <w:r w:rsidRPr="00D51337">
              <w:rPr>
                <w:sz w:val="28"/>
                <w:szCs w:val="28"/>
              </w:rPr>
              <w:lastRenderedPageBreak/>
              <w:t>дополнительно за документа в срочном порядке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>10 дней</w:t>
            </w:r>
            <w:r w:rsidRPr="00D51337">
              <w:rPr>
                <w:sz w:val="28"/>
                <w:szCs w:val="28"/>
              </w:rPr>
              <w:t xml:space="preserve"> со дня подачи заявления</w:t>
            </w: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5 дней</w:t>
            </w:r>
            <w:r w:rsidRPr="00D51337">
              <w:rPr>
                <w:sz w:val="28"/>
                <w:szCs w:val="28"/>
              </w:rPr>
              <w:t xml:space="preserve"> со дня подачи заявления – в случае выдачи документа в ускоренном порядке</w:t>
            </w: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C1B6A" w:rsidRPr="00D51337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1 день со дня подачи заявления – в случае выдачи документа в срочном порядке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C1B6A" w:rsidRPr="00B6015F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lastRenderedPageBreak/>
              <w:t>3 месяца</w:t>
            </w:r>
          </w:p>
          <w:p w:rsidR="008C1B6A" w:rsidRPr="00B6015F" w:rsidRDefault="008C1B6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0A2AD2" w:rsidRDefault="000A2AD2"/>
    <w:sectPr w:rsidR="000A2AD2" w:rsidSect="008C1B6A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6A"/>
    <w:rsid w:val="000A2AD2"/>
    <w:rsid w:val="006B6327"/>
    <w:rsid w:val="008C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3B608-6FD6-4004-B48B-67C08D3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C1B6A"/>
    <w:rPr>
      <w:sz w:val="20"/>
      <w:szCs w:val="20"/>
    </w:rPr>
  </w:style>
  <w:style w:type="character" w:customStyle="1" w:styleId="table100">
    <w:name w:val="table10 Знак"/>
    <w:link w:val="table10"/>
    <w:rsid w:val="008C1B6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1963</Characters>
  <Application>Microsoft Office Word</Application>
  <DocSecurity>0</DocSecurity>
  <Lines>16</Lines>
  <Paragraphs>4</Paragraphs>
  <ScaleCrop>false</ScaleCrop>
  <Company>diakov.net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2020-01-27T07:49:00Z</dcterms:created>
  <dcterms:modified xsi:type="dcterms:W3CDTF">2020-01-27T09:53:00Z</dcterms:modified>
</cp:coreProperties>
</file>