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DF5" w:rsidRPr="00720CF5" w:rsidRDefault="007A3786" w:rsidP="00DE0DF5">
      <w:pPr>
        <w:shd w:val="clear" w:color="auto" w:fill="FFFFFF"/>
        <w:jc w:val="center"/>
        <w:rPr>
          <w:b/>
          <w:bCs/>
          <w:sz w:val="28"/>
          <w:szCs w:val="28"/>
        </w:rPr>
      </w:pPr>
      <w:bookmarkStart w:id="0" w:name="_GoBack"/>
      <w:r>
        <w:rPr>
          <w:b/>
          <w:bCs/>
          <w:sz w:val="28"/>
          <w:szCs w:val="28"/>
        </w:rPr>
        <w:t>У</w:t>
      </w:r>
      <w:r w:rsidR="00DE0DF5" w:rsidRPr="00720CF5">
        <w:rPr>
          <w:b/>
          <w:bCs/>
          <w:sz w:val="28"/>
          <w:szCs w:val="28"/>
        </w:rPr>
        <w:t xml:space="preserve">слуги по оснащению </w:t>
      </w:r>
      <w:r w:rsidR="00DE0DF5">
        <w:rPr>
          <w:b/>
          <w:bCs/>
          <w:sz w:val="28"/>
          <w:szCs w:val="28"/>
        </w:rPr>
        <w:t xml:space="preserve">техническими </w:t>
      </w:r>
      <w:r w:rsidR="00DE0DF5" w:rsidRPr="00720CF5">
        <w:rPr>
          <w:b/>
          <w:bCs/>
          <w:sz w:val="28"/>
          <w:szCs w:val="28"/>
        </w:rPr>
        <w:t>средствами сигнализации</w:t>
      </w:r>
    </w:p>
    <w:bookmarkEnd w:id="0"/>
    <w:p w:rsidR="00DE0DF5" w:rsidRPr="00720CF5" w:rsidRDefault="00DE0DF5" w:rsidP="00DE0DF5">
      <w:pPr>
        <w:shd w:val="clear" w:color="auto" w:fill="FFFFFF"/>
        <w:ind w:firstLine="708"/>
        <w:jc w:val="both"/>
        <w:rPr>
          <w:sz w:val="28"/>
          <w:szCs w:val="28"/>
        </w:rPr>
      </w:pPr>
      <w:r w:rsidRPr="00720CF5">
        <w:rPr>
          <w:sz w:val="28"/>
          <w:szCs w:val="28"/>
        </w:rPr>
        <w:t xml:space="preserve">Оборудование жилых домов, квартир и других помещений </w:t>
      </w:r>
      <w:r>
        <w:rPr>
          <w:sz w:val="28"/>
          <w:szCs w:val="28"/>
        </w:rPr>
        <w:t xml:space="preserve">физических лиц техническими </w:t>
      </w:r>
      <w:r w:rsidRPr="00720CF5">
        <w:rPr>
          <w:sz w:val="28"/>
          <w:szCs w:val="28"/>
        </w:rPr>
        <w:t xml:space="preserve">средствами охранной и ручной </w:t>
      </w:r>
      <w:r>
        <w:rPr>
          <w:sz w:val="28"/>
          <w:szCs w:val="28"/>
        </w:rPr>
        <w:t xml:space="preserve">системой </w:t>
      </w:r>
      <w:r w:rsidRPr="00720CF5">
        <w:rPr>
          <w:sz w:val="28"/>
          <w:szCs w:val="28"/>
        </w:rPr>
        <w:t>тревожной сигнализации.</w:t>
      </w:r>
    </w:p>
    <w:p w:rsidR="00DE0DF5" w:rsidRDefault="00DE0DF5" w:rsidP="00DE0DF5">
      <w:pPr>
        <w:contextualSpacing/>
        <w:jc w:val="both"/>
      </w:pPr>
      <w:r>
        <w:tab/>
        <w:t>1.</w:t>
      </w:r>
      <w:r>
        <w:tab/>
        <w:t>Минимальные требования, предъявляемые к ТСО жилых домов (помещений) физических лиц:</w:t>
      </w:r>
    </w:p>
    <w:p w:rsidR="00DE0DF5" w:rsidRDefault="00DE0DF5" w:rsidP="00DE0DF5">
      <w:pPr>
        <w:pStyle w:val="1"/>
        <w:numPr>
          <w:ilvl w:val="1"/>
          <w:numId w:val="1"/>
        </w:numPr>
        <w:shd w:val="clear" w:color="auto" w:fill="auto"/>
        <w:tabs>
          <w:tab w:val="left" w:pos="1443"/>
        </w:tabs>
        <w:spacing w:line="240" w:lineRule="auto"/>
        <w:ind w:left="0" w:firstLine="709"/>
        <w:jc w:val="both"/>
      </w:pPr>
      <w:r>
        <w:rPr>
          <w:color w:val="000000"/>
        </w:rPr>
        <w:t>отдельно стоящие жилые дома (помещения) оборудуются ТСО:</w:t>
      </w:r>
    </w:p>
    <w:p w:rsidR="00DE0DF5" w:rsidRDefault="00DE0DF5" w:rsidP="00DE0DF5">
      <w:pPr>
        <w:pStyle w:val="1"/>
        <w:shd w:val="clear" w:color="auto" w:fill="auto"/>
        <w:spacing w:line="240" w:lineRule="auto"/>
        <w:ind w:firstLine="709"/>
        <w:jc w:val="both"/>
      </w:pPr>
      <w:r>
        <w:rPr>
          <w:color w:val="000000"/>
        </w:rPr>
        <w:t>на первом (цокольном) этаже: входные двери, ворота (секционные</w:t>
      </w:r>
    </w:p>
    <w:p w:rsidR="00DE0DF5" w:rsidRDefault="00DE0DF5" w:rsidP="00DE0DF5">
      <w:pPr>
        <w:pStyle w:val="1"/>
        <w:shd w:val="clear" w:color="auto" w:fill="auto"/>
        <w:spacing w:line="240" w:lineRule="auto"/>
        <w:ind w:firstLine="709"/>
        <w:jc w:val="both"/>
      </w:pPr>
      <w:r>
        <w:rPr>
          <w:color w:val="000000"/>
        </w:rPr>
        <w:t xml:space="preserve">ворота, </w:t>
      </w:r>
      <w:proofErr w:type="spellStart"/>
      <w:r>
        <w:rPr>
          <w:color w:val="000000"/>
        </w:rPr>
        <w:t>роллеты</w:t>
      </w:r>
      <w:proofErr w:type="spellEnd"/>
      <w:r>
        <w:rPr>
          <w:color w:val="000000"/>
        </w:rPr>
        <w:t xml:space="preserve">) - на открытие и пролом; остекленные конструкции периметра - на открытие и разрушение; объем помещений - объемными </w:t>
      </w:r>
      <w:proofErr w:type="spellStart"/>
      <w:r>
        <w:rPr>
          <w:color w:val="000000"/>
        </w:rPr>
        <w:t>извещателями</w:t>
      </w:r>
      <w:proofErr w:type="spellEnd"/>
      <w:r>
        <w:rPr>
          <w:color w:val="000000"/>
        </w:rPr>
        <w:t>;</w:t>
      </w:r>
    </w:p>
    <w:p w:rsidR="00DE0DF5" w:rsidRDefault="00DE0DF5" w:rsidP="00DE0DF5">
      <w:pPr>
        <w:pStyle w:val="1"/>
        <w:shd w:val="clear" w:color="auto" w:fill="auto"/>
        <w:spacing w:line="240" w:lineRule="auto"/>
        <w:ind w:firstLine="709"/>
        <w:jc w:val="both"/>
      </w:pPr>
      <w:r>
        <w:rPr>
          <w:color w:val="000000"/>
        </w:rPr>
        <w:t xml:space="preserve">на втором и последующих этажах: окна, выходы на балкон, через которые, используя архитектурные особенности строения, есть возможность проникновения в охраняемое помещение - на открытие и разрушение; объем помещений - объемными </w:t>
      </w:r>
      <w:proofErr w:type="spellStart"/>
      <w:r>
        <w:rPr>
          <w:color w:val="000000"/>
        </w:rPr>
        <w:t>извещателями</w:t>
      </w:r>
      <w:proofErr w:type="spellEnd"/>
      <w:r>
        <w:rPr>
          <w:color w:val="000000"/>
        </w:rPr>
        <w:t>;</w:t>
      </w:r>
    </w:p>
    <w:p w:rsidR="00DE0DF5" w:rsidRDefault="00DE0DF5" w:rsidP="00DE0DF5">
      <w:pPr>
        <w:pStyle w:val="1"/>
        <w:shd w:val="clear" w:color="auto" w:fill="auto"/>
        <w:spacing w:line="240" w:lineRule="auto"/>
        <w:ind w:firstLine="709"/>
        <w:jc w:val="both"/>
      </w:pPr>
      <w:r>
        <w:rPr>
          <w:color w:val="000000"/>
        </w:rPr>
        <w:t>двери, люки и прочие (далее - дверные конструкции) из неохраняемых подвалов, чердаков, уровней жилого дома, подсобных и других помещений - на открытие и пролом;</w:t>
      </w:r>
    </w:p>
    <w:p w:rsidR="00DE0DF5" w:rsidRDefault="00DE0DF5" w:rsidP="00DE0DF5">
      <w:pPr>
        <w:pStyle w:val="1"/>
        <w:numPr>
          <w:ilvl w:val="1"/>
          <w:numId w:val="1"/>
        </w:numPr>
        <w:shd w:val="clear" w:color="auto" w:fill="auto"/>
        <w:tabs>
          <w:tab w:val="left" w:pos="1567"/>
        </w:tabs>
        <w:spacing w:line="240" w:lineRule="auto"/>
        <w:ind w:left="0" w:firstLine="709"/>
        <w:jc w:val="both"/>
      </w:pPr>
      <w:r>
        <w:rPr>
          <w:color w:val="000000"/>
        </w:rPr>
        <w:t>помещения, расположенные на первых (цокольных) этажах многоквартирных жилых домов, оборудуются ТСО:</w:t>
      </w:r>
    </w:p>
    <w:p w:rsidR="00DE0DF5" w:rsidRDefault="00DE0DF5" w:rsidP="00DE0DF5">
      <w:pPr>
        <w:pStyle w:val="1"/>
        <w:shd w:val="clear" w:color="auto" w:fill="auto"/>
        <w:spacing w:line="240" w:lineRule="auto"/>
        <w:ind w:firstLine="709"/>
        <w:jc w:val="both"/>
      </w:pPr>
      <w:r>
        <w:rPr>
          <w:color w:val="000000"/>
        </w:rPr>
        <w:t>входная дверь - на открытие и пролом;</w:t>
      </w:r>
    </w:p>
    <w:p w:rsidR="00DE0DF5" w:rsidRDefault="00DE0DF5" w:rsidP="00DE0DF5">
      <w:pPr>
        <w:pStyle w:val="1"/>
        <w:shd w:val="clear" w:color="auto" w:fill="auto"/>
        <w:spacing w:line="240" w:lineRule="auto"/>
        <w:ind w:firstLine="709"/>
        <w:jc w:val="both"/>
      </w:pPr>
      <w:r>
        <w:rPr>
          <w:color w:val="000000"/>
        </w:rPr>
        <w:t>окна, выходы на балкон - на открытие и разрушение;</w:t>
      </w:r>
    </w:p>
    <w:p w:rsidR="00DE0DF5" w:rsidRDefault="00DE0DF5" w:rsidP="00DE0DF5">
      <w:pPr>
        <w:pStyle w:val="1"/>
        <w:shd w:val="clear" w:color="auto" w:fill="auto"/>
        <w:spacing w:line="24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объем помещений - объемными </w:t>
      </w:r>
      <w:proofErr w:type="spellStart"/>
      <w:r>
        <w:rPr>
          <w:color w:val="000000"/>
        </w:rPr>
        <w:t>извещателями</w:t>
      </w:r>
      <w:proofErr w:type="spellEnd"/>
      <w:r>
        <w:rPr>
          <w:color w:val="000000"/>
        </w:rPr>
        <w:t>;</w:t>
      </w:r>
    </w:p>
    <w:p w:rsidR="00DE0DF5" w:rsidRPr="008A7A31" w:rsidRDefault="00DE0DF5" w:rsidP="00DE0DF5">
      <w:pPr>
        <w:pStyle w:val="1"/>
        <w:shd w:val="clear" w:color="auto" w:fill="auto"/>
        <w:spacing w:line="240" w:lineRule="auto"/>
        <w:ind w:firstLine="709"/>
        <w:jc w:val="both"/>
      </w:pPr>
    </w:p>
    <w:p w:rsidR="00DE0DF5" w:rsidRDefault="00DE0DF5" w:rsidP="00DE0DF5">
      <w:pPr>
        <w:pStyle w:val="1"/>
        <w:numPr>
          <w:ilvl w:val="1"/>
          <w:numId w:val="1"/>
        </w:numPr>
        <w:shd w:val="clear" w:color="auto" w:fill="auto"/>
        <w:tabs>
          <w:tab w:val="left" w:pos="1586"/>
        </w:tabs>
        <w:spacing w:line="240" w:lineRule="auto"/>
        <w:ind w:left="0" w:firstLine="709"/>
        <w:jc w:val="both"/>
      </w:pPr>
      <w:r>
        <w:rPr>
          <w:color w:val="000000"/>
        </w:rPr>
        <w:t>помещения, расположенные на промежуточных, последних этажах многоквартирных жилых домов, оборудуются ТСО:</w:t>
      </w:r>
    </w:p>
    <w:p w:rsidR="00DE0DF5" w:rsidRDefault="00DE0DF5" w:rsidP="00DE0DF5">
      <w:pPr>
        <w:pStyle w:val="1"/>
        <w:shd w:val="clear" w:color="auto" w:fill="auto"/>
        <w:spacing w:line="240" w:lineRule="auto"/>
        <w:ind w:firstLine="709"/>
        <w:jc w:val="both"/>
      </w:pPr>
      <w:r>
        <w:rPr>
          <w:color w:val="000000"/>
        </w:rPr>
        <w:t>входная дверь - на открытие и пролом;</w:t>
      </w:r>
    </w:p>
    <w:p w:rsidR="00DE0DF5" w:rsidRDefault="00DE0DF5" w:rsidP="00DE0DF5">
      <w:pPr>
        <w:pStyle w:val="1"/>
        <w:shd w:val="clear" w:color="auto" w:fill="auto"/>
        <w:spacing w:line="240" w:lineRule="auto"/>
        <w:ind w:firstLine="709"/>
        <w:jc w:val="both"/>
      </w:pPr>
      <w:r>
        <w:rPr>
          <w:color w:val="000000"/>
        </w:rPr>
        <w:t xml:space="preserve">коридор (помещения), в который выходят: входная дверь, двери (проходы) из смежных комнат, санитарных узлов и др. - объемными </w:t>
      </w:r>
      <w:proofErr w:type="spellStart"/>
      <w:r>
        <w:rPr>
          <w:color w:val="000000"/>
        </w:rPr>
        <w:t>извещателями</w:t>
      </w:r>
      <w:proofErr w:type="spellEnd"/>
      <w:r>
        <w:rPr>
          <w:color w:val="000000"/>
        </w:rPr>
        <w:t>;</w:t>
      </w:r>
    </w:p>
    <w:p w:rsidR="00DE0DF5" w:rsidRDefault="00DE0DF5" w:rsidP="00DE0DF5">
      <w:pPr>
        <w:pStyle w:val="1"/>
        <w:shd w:val="clear" w:color="auto" w:fill="auto"/>
        <w:spacing w:line="240" w:lineRule="auto"/>
        <w:ind w:firstLine="709"/>
        <w:jc w:val="both"/>
      </w:pPr>
      <w:r>
        <w:rPr>
          <w:color w:val="000000"/>
        </w:rPr>
        <w:t xml:space="preserve">объем помещений, к окнам которых имеется доступ снаружи и есть возможность несанкционированного проникновения в охраняемое помещение - объемными </w:t>
      </w:r>
      <w:proofErr w:type="spellStart"/>
      <w:r>
        <w:rPr>
          <w:color w:val="000000"/>
        </w:rPr>
        <w:t>извещателями</w:t>
      </w:r>
      <w:proofErr w:type="spellEnd"/>
      <w:r>
        <w:rPr>
          <w:color w:val="000000"/>
        </w:rPr>
        <w:t>.</w:t>
      </w:r>
    </w:p>
    <w:p w:rsidR="00DE0DF5" w:rsidRDefault="00DE0DF5" w:rsidP="00DE0DF5">
      <w:pPr>
        <w:pStyle w:val="1"/>
        <w:numPr>
          <w:ilvl w:val="0"/>
          <w:numId w:val="1"/>
        </w:numPr>
        <w:shd w:val="clear" w:color="auto" w:fill="auto"/>
        <w:tabs>
          <w:tab w:val="left" w:pos="1332"/>
        </w:tabs>
        <w:spacing w:line="240" w:lineRule="auto"/>
        <w:ind w:left="0" w:firstLine="709"/>
        <w:jc w:val="both"/>
      </w:pPr>
      <w:r>
        <w:rPr>
          <w:color w:val="000000"/>
        </w:rPr>
        <w:t xml:space="preserve">При блокировке входных дверей (других наружных дверных конструкций) на пролом допускается применять объемные </w:t>
      </w:r>
      <w:proofErr w:type="spellStart"/>
      <w:r>
        <w:rPr>
          <w:color w:val="000000"/>
        </w:rPr>
        <w:t>извещатели</w:t>
      </w:r>
      <w:proofErr w:type="spellEnd"/>
      <w:r>
        <w:rPr>
          <w:color w:val="000000"/>
        </w:rPr>
        <w:t>, в зоне обнаружения которых находятся данные уязвимые места.</w:t>
      </w:r>
    </w:p>
    <w:p w:rsidR="00DE0DF5" w:rsidRDefault="00DE0DF5" w:rsidP="00DE0DF5">
      <w:pPr>
        <w:pStyle w:val="1"/>
        <w:numPr>
          <w:ilvl w:val="0"/>
          <w:numId w:val="1"/>
        </w:numPr>
        <w:shd w:val="clear" w:color="auto" w:fill="auto"/>
        <w:tabs>
          <w:tab w:val="left" w:pos="1356"/>
        </w:tabs>
        <w:spacing w:line="240" w:lineRule="auto"/>
        <w:ind w:left="0" w:firstLine="709"/>
        <w:jc w:val="both"/>
      </w:pPr>
      <w:r>
        <w:rPr>
          <w:color w:val="000000"/>
        </w:rPr>
        <w:t xml:space="preserve">Допускается не блокировать стекла на разрушение, размер которых не более </w:t>
      </w:r>
      <w:r w:rsidRPr="00C74B88">
        <w:rPr>
          <w:color w:val="000000"/>
        </w:rPr>
        <w:t>200</w:t>
      </w:r>
      <w:r>
        <w:rPr>
          <w:color w:val="000000"/>
          <w:lang w:val="en-US"/>
        </w:rPr>
        <w:t>x</w:t>
      </w:r>
      <w:r w:rsidRPr="00C74B88">
        <w:rPr>
          <w:color w:val="000000"/>
        </w:rPr>
        <w:t xml:space="preserve">200 </w:t>
      </w:r>
      <w:r>
        <w:rPr>
          <w:color w:val="000000"/>
        </w:rPr>
        <w:t xml:space="preserve">мм, если объем охраняемого помещения контролируется объемным </w:t>
      </w:r>
      <w:proofErr w:type="spellStart"/>
      <w:r>
        <w:rPr>
          <w:color w:val="000000"/>
        </w:rPr>
        <w:t>извещателем</w:t>
      </w:r>
      <w:proofErr w:type="spellEnd"/>
      <w:r>
        <w:rPr>
          <w:color w:val="000000"/>
        </w:rPr>
        <w:t>.</w:t>
      </w:r>
    </w:p>
    <w:p w:rsidR="00DE0DF5" w:rsidRDefault="00DE0DF5" w:rsidP="00DE0DF5">
      <w:pPr>
        <w:pStyle w:val="1"/>
        <w:numPr>
          <w:ilvl w:val="0"/>
          <w:numId w:val="1"/>
        </w:numPr>
        <w:shd w:val="clear" w:color="auto" w:fill="auto"/>
        <w:tabs>
          <w:tab w:val="left" w:pos="1346"/>
        </w:tabs>
        <w:spacing w:line="240" w:lineRule="auto"/>
        <w:ind w:left="0" w:firstLine="709"/>
        <w:jc w:val="both"/>
      </w:pPr>
      <w:r w:rsidRPr="00B7057E">
        <w:rPr>
          <w:color w:val="000000"/>
        </w:rPr>
        <w:t xml:space="preserve">При блокировке окон на открытие и разрушение, наружных дверных конструкций на открытие и пролом с использованием омических </w:t>
      </w:r>
      <w:proofErr w:type="spellStart"/>
      <w:r w:rsidRPr="00B7057E">
        <w:rPr>
          <w:color w:val="000000"/>
        </w:rPr>
        <w:t>извещателей</w:t>
      </w:r>
      <w:proofErr w:type="spellEnd"/>
      <w:r w:rsidRPr="00B7057E">
        <w:rPr>
          <w:color w:val="000000"/>
        </w:rPr>
        <w:t xml:space="preserve"> допускается не устанавливать объемные </w:t>
      </w:r>
      <w:proofErr w:type="spellStart"/>
      <w:r w:rsidRPr="00B7057E">
        <w:rPr>
          <w:color w:val="000000"/>
        </w:rPr>
        <w:t>извещатели</w:t>
      </w:r>
      <w:proofErr w:type="spellEnd"/>
      <w:r w:rsidRPr="00B7057E">
        <w:rPr>
          <w:color w:val="000000"/>
        </w:rPr>
        <w:t xml:space="preserve"> в </w:t>
      </w:r>
      <w:r w:rsidRPr="00B7057E">
        <w:rPr>
          <w:color w:val="000000"/>
        </w:rPr>
        <w:lastRenderedPageBreak/>
        <w:t>каждой комнате при условии, что они установлены в коридоре каждого охраняемого этажа (уровня) с подключением на отдельные шлейфы сигнализации прибора приемно-контрольного (далее - ППК).</w:t>
      </w:r>
    </w:p>
    <w:p w:rsidR="00DE0DF5" w:rsidRDefault="00DE0DF5" w:rsidP="00DE0DF5">
      <w:pPr>
        <w:ind w:firstLine="709"/>
        <w:jc w:val="both"/>
      </w:pPr>
      <w:r>
        <w:t xml:space="preserve">5. Стоимость блокировки </w:t>
      </w:r>
      <w:r>
        <w:rPr>
          <w:color w:val="000000"/>
        </w:rPr>
        <w:t>отдельно стоящих жилых домов составляет ориентировочно 1000 рублей.</w:t>
      </w:r>
    </w:p>
    <w:p w:rsidR="00DE0DF5" w:rsidRDefault="00DE0DF5" w:rsidP="00DE0DF5">
      <w:pPr>
        <w:ind w:firstLine="709"/>
        <w:jc w:val="both"/>
      </w:pPr>
      <w:r>
        <w:t xml:space="preserve">6. Стоимость блокировки </w:t>
      </w:r>
      <w:r>
        <w:rPr>
          <w:color w:val="000000"/>
        </w:rPr>
        <w:t>помещений, расположенные на первых (цокольных) этажах многоквартирных жилых домов ориентировочно 750 рублей.</w:t>
      </w:r>
    </w:p>
    <w:p w:rsidR="00DE0DF5" w:rsidRDefault="00DE0DF5" w:rsidP="00DE0DF5">
      <w:pPr>
        <w:ind w:firstLine="709"/>
        <w:jc w:val="both"/>
      </w:pPr>
      <w:r>
        <w:t xml:space="preserve">7. Стоимость блокировки </w:t>
      </w:r>
      <w:r>
        <w:rPr>
          <w:color w:val="000000"/>
        </w:rPr>
        <w:t>помещений, расположенных на промежуточных, последних этажах многоквартирных жилых домов ориентировочно 450 рублей.</w:t>
      </w:r>
    </w:p>
    <w:p w:rsidR="00DE0DF5" w:rsidRDefault="00DE0DF5" w:rsidP="00DE0DF5">
      <w:pPr>
        <w:ind w:firstLine="709"/>
        <w:jc w:val="both"/>
        <w:rPr>
          <w:color w:val="000000"/>
        </w:rPr>
      </w:pPr>
      <w:r>
        <w:t xml:space="preserve">8. Стоимость блокировки отдельно стоящих </w:t>
      </w:r>
      <w:proofErr w:type="gramStart"/>
      <w:r>
        <w:rPr>
          <w:color w:val="000000"/>
        </w:rPr>
        <w:t>помещений(</w:t>
      </w:r>
      <w:proofErr w:type="gramEnd"/>
      <w:r>
        <w:rPr>
          <w:color w:val="000000"/>
        </w:rPr>
        <w:t>гараж, сейф, комната в жилом доме), ориентировочно 500 рублей.</w:t>
      </w:r>
    </w:p>
    <w:p w:rsidR="00DE0DF5" w:rsidRDefault="00DE0DF5" w:rsidP="00DE0DF5">
      <w:pPr>
        <w:ind w:firstLine="709"/>
        <w:jc w:val="both"/>
        <w:rPr>
          <w:color w:val="000000"/>
        </w:rPr>
      </w:pPr>
      <w:r>
        <w:rPr>
          <w:color w:val="000000"/>
        </w:rPr>
        <w:t>9. На монтажные работы предоставляется беспроцентная рассрочка сроком до 6 месяцев.</w:t>
      </w:r>
    </w:p>
    <w:p w:rsidR="00DE0DF5" w:rsidRPr="00FB6B49" w:rsidRDefault="00DE0DF5" w:rsidP="00DE0DF5">
      <w:pPr>
        <w:ind w:firstLine="709"/>
        <w:jc w:val="both"/>
        <w:rPr>
          <w:color w:val="000000"/>
        </w:rPr>
      </w:pPr>
      <w:r>
        <w:rPr>
          <w:color w:val="000000"/>
        </w:rPr>
        <w:t>10. Ежемесячная абонентская плата за один этаж составляет</w:t>
      </w:r>
      <w:r w:rsidRPr="00FB6B49">
        <w:rPr>
          <w:color w:val="000000"/>
        </w:rPr>
        <w:t>:</w:t>
      </w:r>
    </w:p>
    <w:p w:rsidR="00DE0DF5" w:rsidRPr="00FB6B49" w:rsidRDefault="00DE0DF5" w:rsidP="00DE0DF5">
      <w:pPr>
        <w:ind w:firstLine="709"/>
        <w:jc w:val="both"/>
      </w:pPr>
      <w:r w:rsidRPr="006A5F9B">
        <w:rPr>
          <w:color w:val="000000"/>
        </w:rPr>
        <w:tab/>
      </w:r>
      <w:r>
        <w:rPr>
          <w:color w:val="000000"/>
        </w:rPr>
        <w:t>В зоне реагирования:8,75 рублей</w:t>
      </w:r>
    </w:p>
    <w:p w:rsidR="00DE0DF5" w:rsidRDefault="00DE0DF5" w:rsidP="00DE0DF5">
      <w:pPr>
        <w:ind w:firstLine="709"/>
        <w:jc w:val="both"/>
        <w:rPr>
          <w:color w:val="000000"/>
        </w:rPr>
      </w:pPr>
      <w:r w:rsidRPr="006A5F9B">
        <w:rPr>
          <w:color w:val="000000"/>
        </w:rPr>
        <w:tab/>
      </w:r>
      <w:r>
        <w:rPr>
          <w:color w:val="000000"/>
        </w:rPr>
        <w:t>Вне зоны реагирования:2,45 рублей</w:t>
      </w:r>
    </w:p>
    <w:p w:rsidR="00DE0DF5" w:rsidRPr="00720CF5" w:rsidRDefault="00DE0DF5" w:rsidP="00DE0DF5">
      <w:pPr>
        <w:shd w:val="clear" w:color="auto" w:fill="FFFFFF"/>
        <w:ind w:firstLine="708"/>
        <w:jc w:val="both"/>
        <w:rPr>
          <w:bCs/>
          <w:sz w:val="28"/>
          <w:szCs w:val="28"/>
        </w:rPr>
      </w:pPr>
      <w:r w:rsidRPr="00720CF5">
        <w:rPr>
          <w:bCs/>
          <w:sz w:val="28"/>
          <w:szCs w:val="28"/>
        </w:rPr>
        <w:t xml:space="preserve">По всем вопросам заключения договора на охрану жилых домов, квартир и других помещений с личным имуществом средствами охранной и ручной тревожной сигнализацией жителям </w:t>
      </w:r>
      <w:r>
        <w:rPr>
          <w:bCs/>
          <w:sz w:val="28"/>
          <w:szCs w:val="28"/>
        </w:rPr>
        <w:t>Воложинского района</w:t>
      </w:r>
      <w:r w:rsidRPr="00720CF5">
        <w:rPr>
          <w:bCs/>
          <w:sz w:val="28"/>
          <w:szCs w:val="28"/>
        </w:rPr>
        <w:t xml:space="preserve"> следует обращаться в </w:t>
      </w:r>
      <w:proofErr w:type="spellStart"/>
      <w:r>
        <w:rPr>
          <w:bCs/>
          <w:sz w:val="28"/>
          <w:szCs w:val="28"/>
        </w:rPr>
        <w:t>Воложинский</w:t>
      </w:r>
      <w:proofErr w:type="spellEnd"/>
      <w:r>
        <w:rPr>
          <w:bCs/>
          <w:sz w:val="28"/>
          <w:szCs w:val="28"/>
        </w:rPr>
        <w:t xml:space="preserve"> РОВД (</w:t>
      </w:r>
      <w:proofErr w:type="spellStart"/>
      <w:r>
        <w:rPr>
          <w:bCs/>
          <w:sz w:val="28"/>
          <w:szCs w:val="28"/>
        </w:rPr>
        <w:t>г.Воложин</w:t>
      </w:r>
      <w:proofErr w:type="spellEnd"/>
      <w:r>
        <w:rPr>
          <w:bCs/>
          <w:sz w:val="28"/>
          <w:szCs w:val="28"/>
        </w:rPr>
        <w:t xml:space="preserve"> пл. Свободы,17) или </w:t>
      </w:r>
      <w:proofErr w:type="spellStart"/>
      <w:r>
        <w:rPr>
          <w:bCs/>
          <w:sz w:val="28"/>
          <w:szCs w:val="28"/>
        </w:rPr>
        <w:t>Воложинское</w:t>
      </w:r>
      <w:proofErr w:type="spellEnd"/>
      <w:r>
        <w:rPr>
          <w:bCs/>
          <w:sz w:val="28"/>
          <w:szCs w:val="28"/>
        </w:rPr>
        <w:t xml:space="preserve"> отделение</w:t>
      </w:r>
      <w:r w:rsidRPr="00720CF5">
        <w:rPr>
          <w:bCs/>
          <w:sz w:val="28"/>
          <w:szCs w:val="28"/>
        </w:rPr>
        <w:t xml:space="preserve"> Департамента охраны</w:t>
      </w:r>
      <w:r>
        <w:rPr>
          <w:bCs/>
          <w:sz w:val="28"/>
          <w:szCs w:val="28"/>
        </w:rPr>
        <w:t xml:space="preserve"> Министерства внутренних дел Республики Беларусь (</w:t>
      </w:r>
      <w:proofErr w:type="spellStart"/>
      <w:r>
        <w:rPr>
          <w:bCs/>
          <w:sz w:val="28"/>
          <w:szCs w:val="28"/>
        </w:rPr>
        <w:t>г.Воложин</w:t>
      </w:r>
      <w:proofErr w:type="spellEnd"/>
      <w:r>
        <w:rPr>
          <w:bCs/>
          <w:sz w:val="28"/>
          <w:szCs w:val="28"/>
        </w:rPr>
        <w:t xml:space="preserve"> ул.1–</w:t>
      </w:r>
      <w:proofErr w:type="spellStart"/>
      <w:r>
        <w:rPr>
          <w:bCs/>
          <w:sz w:val="28"/>
          <w:szCs w:val="28"/>
        </w:rPr>
        <w:t>го</w:t>
      </w:r>
      <w:proofErr w:type="spellEnd"/>
      <w:r>
        <w:rPr>
          <w:bCs/>
          <w:sz w:val="28"/>
          <w:szCs w:val="28"/>
        </w:rPr>
        <w:t xml:space="preserve"> Мая,3)</w:t>
      </w:r>
      <w:r w:rsidRPr="00720CF5">
        <w:rPr>
          <w:bCs/>
          <w:sz w:val="28"/>
          <w:szCs w:val="28"/>
        </w:rPr>
        <w:t>.</w:t>
      </w:r>
    </w:p>
    <w:p w:rsidR="00DE0DF5" w:rsidRDefault="00DE0DF5" w:rsidP="00DE0DF5">
      <w:pPr>
        <w:contextualSpacing/>
        <w:jc w:val="both"/>
      </w:pPr>
    </w:p>
    <w:p w:rsidR="00391DAB" w:rsidRDefault="007A3786"/>
    <w:sectPr w:rsidR="00391DAB" w:rsidSect="008A7A31">
      <w:pgSz w:w="11906" w:h="16838"/>
      <w:pgMar w:top="425" w:right="567" w:bottom="107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A7665"/>
    <w:multiLevelType w:val="multilevel"/>
    <w:tmpl w:val="B1A69FA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00000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DF5"/>
    <w:rsid w:val="00031299"/>
    <w:rsid w:val="007A3786"/>
    <w:rsid w:val="00BF1407"/>
    <w:rsid w:val="00DE0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98C1C"/>
  <w15:docId w15:val="{5663FF70-62A9-4166-B0DF-4F524C658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0DF5"/>
    <w:pPr>
      <w:spacing w:after="0" w:line="240" w:lineRule="auto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DE0DF5"/>
    <w:rPr>
      <w:b/>
    </w:rPr>
  </w:style>
  <w:style w:type="character" w:customStyle="1" w:styleId="20">
    <w:name w:val="Основной текст 2 Знак"/>
    <w:basedOn w:val="a0"/>
    <w:link w:val="2"/>
    <w:rsid w:val="00DE0DF5"/>
    <w:rPr>
      <w:rFonts w:ascii="Times New Roman" w:eastAsia="Times New Roman" w:hAnsi="Times New Roman" w:cs="Times New Roman"/>
      <w:b/>
      <w:sz w:val="30"/>
      <w:szCs w:val="30"/>
      <w:lang w:eastAsia="ru-RU"/>
    </w:rPr>
  </w:style>
  <w:style w:type="character" w:customStyle="1" w:styleId="a3">
    <w:name w:val="Основной текст_"/>
    <w:link w:val="1"/>
    <w:rsid w:val="00DE0DF5"/>
    <w:rPr>
      <w:sz w:val="30"/>
      <w:szCs w:val="30"/>
      <w:shd w:val="clear" w:color="auto" w:fill="FFFFFF"/>
    </w:rPr>
  </w:style>
  <w:style w:type="paragraph" w:customStyle="1" w:styleId="1">
    <w:name w:val="Основной текст1"/>
    <w:basedOn w:val="a"/>
    <w:link w:val="a3"/>
    <w:rsid w:val="00DE0DF5"/>
    <w:pPr>
      <w:widowControl w:val="0"/>
      <w:shd w:val="clear" w:color="auto" w:fill="FFFFFF"/>
      <w:spacing w:line="686" w:lineRule="exact"/>
      <w:jc w:val="center"/>
    </w:pPr>
    <w:rPr>
      <w:rFonts w:asciiTheme="minorHAnsi" w:eastAsiaTheme="minorHAnsi" w:hAnsiTheme="minorHAnsi" w:cstheme="minorBidi"/>
      <w:shd w:val="clear" w:color="auto" w:fill="FFFFFF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DE0DF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0DF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DariaChonyak</cp:lastModifiedBy>
  <cp:revision>2</cp:revision>
  <dcterms:created xsi:type="dcterms:W3CDTF">2019-02-06T06:24:00Z</dcterms:created>
  <dcterms:modified xsi:type="dcterms:W3CDTF">2019-02-06T07:30:00Z</dcterms:modified>
</cp:coreProperties>
</file>